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MOJTABA FARJAM, MD-PhD</w:t>
      </w:r>
    </w:p>
    <w:p>
      <w:pPr>
        <w:jc w:val="center"/>
      </w:pPr>
      <w:r>
        <w:rPr>
          <w:b/>
          <w:sz w:val="21"/>
        </w:rPr>
        <w:t>Professor of Pharmacology | Fasa University of Medical Sciences, Iran</w:t>
      </w:r>
    </w:p>
    <w:p>
      <w:pPr>
        <w:jc w:val="center"/>
      </w:pPr>
      <w:r>
        <w:rPr>
          <w:i/>
          <w:sz w:val="19"/>
        </w:rPr>
        <w:t>Research-focused academic leader in pharmacology, population-based studies, preventive pharmacology and non-communicable diseases</w:t>
      </w:r>
    </w:p>
    <w:p>
      <w:pPr>
        <w:pStyle w:val="Heading1"/>
        <w:spacing w:before="100" w:after="40"/>
      </w:pPr>
      <w:r>
        <w:t>PROFILE</w:t>
      </w:r>
    </w:p>
    <w:p>
      <w:pPr>
        <w:spacing w:after="60"/>
      </w:pPr>
      <w:r>
        <w:t>MD-PhD pharmacologist with academic, research-management and population-health leadership experience. Research interests include preventive pharmacology, pharmacoepidemiology and drug safety, cardiovascular and metabolic pharmacology, and longitudinal population-based research in non-communicable diseases.</w:t>
      </w:r>
    </w:p>
    <w:p>
      <w:pPr>
        <w:pStyle w:val="Heading1"/>
        <w:spacing w:before="100" w:after="40"/>
      </w:pPr>
      <w:r>
        <w:t>CURRENT ACADEMIC &amp; LEADERSHIP ROLES</w:t>
      </w:r>
    </w:p>
    <w:p>
      <w:pPr>
        <w:spacing w:after="30"/>
        <w:ind w:left="259" w:hanging="173"/>
      </w:pPr>
      <w:r>
        <w:rPr>
          <w:b/>
        </w:rPr>
        <w:t xml:space="preserve">• </w:t>
      </w:r>
      <w:r>
        <w:t>Secretary of Population-based Studies, Ministry of Health and Medical Education, Iran (April 2026–present).</w:t>
      </w:r>
    </w:p>
    <w:p>
      <w:pPr>
        <w:spacing w:after="30"/>
        <w:ind w:left="259" w:hanging="173"/>
      </w:pPr>
      <w:r>
        <w:rPr>
          <w:b/>
        </w:rPr>
        <w:t xml:space="preserve">• </w:t>
      </w:r>
      <w:r>
        <w:t>Vice Chancellor for Research &amp; Technology, Fasa University of Medical Sciences (2024–present).</w:t>
      </w:r>
    </w:p>
    <w:p>
      <w:pPr>
        <w:spacing w:after="30"/>
        <w:ind w:left="259" w:hanging="173"/>
      </w:pPr>
      <w:r>
        <w:rPr>
          <w:b/>
        </w:rPr>
        <w:t xml:space="preserve">• </w:t>
      </w:r>
      <w:r>
        <w:t>Full Professor of Pharmacology, Fasa University of Medical Sciences (July 2024–present).</w:t>
      </w:r>
    </w:p>
    <w:p>
      <w:pPr>
        <w:spacing w:after="30"/>
        <w:ind w:left="259" w:hanging="173"/>
      </w:pPr>
      <w:r>
        <w:rPr>
          <w:b/>
        </w:rPr>
        <w:t xml:space="preserve">• </w:t>
      </w:r>
      <w:r>
        <w:t>Founding Board Member, Non-Communicable Diseases Research Center, Fasa University of Medical Sciences; the Center currently holds Rank 1 among comparable, same-field non-communicable disease research centers in Iran.</w:t>
      </w:r>
    </w:p>
    <w:p>
      <w:pPr>
        <w:spacing w:after="30"/>
        <w:ind w:left="259" w:hanging="173"/>
      </w:pPr>
      <w:r>
        <w:rPr>
          <w:b/>
        </w:rPr>
        <w:t xml:space="preserve">• </w:t>
      </w:r>
      <w:r>
        <w:t>Principal Investigator, Fasa PERSIAN Cohort Study (Fasa Adults Cohort Study; FACS), and Principal Investigator / Research Lead, Fasa Youth Cohort Study.</w:t>
      </w:r>
    </w:p>
    <w:p>
      <w:pPr>
        <w:pStyle w:val="Heading1"/>
        <w:spacing w:before="100" w:after="40"/>
      </w:pPr>
      <w:r>
        <w:t>RESEARCH PROFILE &amp; IMPACT</w:t>
      </w:r>
    </w:p>
    <w:p>
      <w:pPr>
        <w:spacing w:after="30"/>
        <w:ind w:left="259" w:hanging="173"/>
      </w:pPr>
      <w:r>
        <w:rPr>
          <w:b/>
        </w:rPr>
        <w:t xml:space="preserve">• </w:t>
      </w:r>
      <w:r>
        <w:t>Google Scholar h-index: 34; Scopus h-index: 27.</w:t>
      </w:r>
    </w:p>
    <w:p>
      <w:pPr>
        <w:spacing w:after="30"/>
        <w:ind w:left="259" w:hanging="173"/>
      </w:pPr>
      <w:r>
        <w:rPr>
          <w:b/>
        </w:rPr>
        <w:t xml:space="preserve">• </w:t>
      </w:r>
      <w:r>
        <w:t>Top 1% ESI Highly Cited Researcher (Clarivate Analytics), 2025–present; Top 2% World Ranking Scientist (Stanford University / Elsevier), 2024–present.</w:t>
      </w:r>
    </w:p>
    <w:p>
      <w:pPr>
        <w:spacing w:after="30"/>
        <w:ind w:left="259" w:hanging="173"/>
      </w:pPr>
      <w:r>
        <w:rPr>
          <w:b/>
        </w:rPr>
        <w:t xml:space="preserve">• </w:t>
      </w:r>
      <w:r>
        <w:t>Research leadership spanning cohort study design and data management, pharmacoepidemiology, drug safety, cardiometabolic risk, and machine-learning applications.</w:t>
      </w:r>
    </w:p>
    <w:p>
      <w:pPr>
        <w:spacing w:after="30"/>
        <w:ind w:left="259" w:hanging="173"/>
      </w:pPr>
      <w:r>
        <w:rPr>
          <w:b/>
        </w:rPr>
        <w:t xml:space="preserve">• </w:t>
      </w:r>
      <w:r>
        <w:t>Extensive publication record in international biomedical journals, including recent work on preventive pharmacology, metabolic and cardiovascular risk, cohort-based research, and COVID-19-related molecular research.</w:t>
      </w:r>
    </w:p>
    <w:p>
      <w:pPr>
        <w:pStyle w:val="Heading1"/>
        <w:spacing w:before="100" w:after="40"/>
      </w:pPr>
      <w:r>
        <w:t>RESEARCH INFRASTRUCTURE &amp; BIOBANK LEADERSHIP</w:t>
      </w:r>
    </w:p>
    <w:p>
      <w:pPr>
        <w:spacing w:after="30"/>
        <w:ind w:left="259" w:hanging="173"/>
      </w:pPr>
      <w:r>
        <w:rPr>
          <w:b/>
        </w:rPr>
        <w:t xml:space="preserve">• </w:t>
      </w:r>
      <w:r>
        <w:t>Founder and scientific lead in the development of a university biobank, with experience in establishment, infrastructure development, upgrading, equipment planning and sustainability, guided by internationally recognized biobanking quality principles and standards.</w:t>
      </w:r>
    </w:p>
    <w:p>
      <w:pPr>
        <w:spacing w:after="30"/>
        <w:ind w:left="259" w:hanging="173"/>
      </w:pPr>
      <w:r>
        <w:rPr>
          <w:b/>
        </w:rPr>
        <w:t xml:space="preserve">• </w:t>
      </w:r>
      <w:r>
        <w:t>Research infrastructure funding leadership, including dedicated institutional support for upgrading, equipping and improving the sustainability of the Central Research Laboratory and University Biobank.</w:t>
      </w:r>
    </w:p>
    <w:p>
      <w:pPr>
        <w:spacing w:after="30"/>
        <w:ind w:left="259" w:hanging="173"/>
      </w:pPr>
      <w:r>
        <w:rPr>
          <w:b/>
        </w:rPr>
        <w:t xml:space="preserve">• </w:t>
      </w:r>
      <w:r>
        <w:t>Research laboratory management covering planning, coordination, infrastructure, equipment and research operations.</w:t>
      </w:r>
    </w:p>
    <w:p>
      <w:pPr>
        <w:pStyle w:val="Heading1"/>
        <w:spacing w:before="100" w:after="40"/>
      </w:pPr>
      <w:r>
        <w:t>SCIENTIFIC &amp; LABORATORY EXPERTISE</w:t>
      </w:r>
    </w:p>
    <w:p>
      <w:pPr>
        <w:spacing w:after="30"/>
        <w:ind w:left="259" w:hanging="173"/>
      </w:pPr>
      <w:r>
        <w:rPr>
          <w:b/>
        </w:rPr>
        <w:t xml:space="preserve">• </w:t>
      </w:r>
      <w:r>
        <w:t>Preventive pharmacology, population pharmacology, pharmacoepidemiology and clinical drug safety.</w:t>
      </w:r>
    </w:p>
    <w:p>
      <w:pPr>
        <w:spacing w:after="30"/>
        <w:ind w:left="259" w:hanging="173"/>
      </w:pPr>
      <w:r>
        <w:rPr>
          <w:b/>
        </w:rPr>
        <w:t xml:space="preserve">• </w:t>
      </w:r>
      <w:r>
        <w:t>Animal disease modeling: Experimental Autoimmune Encephalomyelitis (EAE), hepatic encephalopathy, burn and wound models, and hepatotoxicity models.</w:t>
      </w:r>
    </w:p>
    <w:p>
      <w:pPr>
        <w:spacing w:after="30"/>
        <w:ind w:left="259" w:hanging="173"/>
      </w:pPr>
      <w:r>
        <w:rPr>
          <w:b/>
        </w:rPr>
        <w:t xml:space="preserve">• </w:t>
      </w:r>
      <w:r>
        <w:t>Cell and molecular methods: Western blotting and protein analysis, Real-Time PCR, immunohistochemistry and immunocytochemistry.</w:t>
      </w:r>
    </w:p>
    <w:p>
      <w:pPr>
        <w:spacing w:after="30"/>
        <w:ind w:left="259" w:hanging="173"/>
      </w:pPr>
      <w:r>
        <w:rPr>
          <w:b/>
        </w:rPr>
        <w:t xml:space="preserve">• </w:t>
      </w:r>
      <w:r>
        <w:t>Multifactorial risk modeling and machine learning in cardiometabolic and liver health.</w:t>
      </w:r>
    </w:p>
    <w:p>
      <w:pPr>
        <w:pStyle w:val="Heading1"/>
        <w:spacing w:before="100" w:after="40"/>
      </w:pPr>
      <w:r>
        <w:t>EDITORIAL, TEACHING &amp; PROFESSIONAL SERVICE</w:t>
      </w:r>
    </w:p>
    <w:p>
      <w:pPr>
        <w:spacing w:after="30"/>
        <w:ind w:left="259" w:hanging="173"/>
      </w:pPr>
      <w:r>
        <w:rPr>
          <w:b/>
        </w:rPr>
        <w:t xml:space="preserve">• </w:t>
      </w:r>
      <w:r>
        <w:t>Editorial Board Member, Scientific Reports (Nature Portfolio), 2022–present.</w:t>
      </w:r>
    </w:p>
    <w:p>
      <w:pPr>
        <w:spacing w:after="30"/>
        <w:ind w:left="259" w:hanging="173"/>
      </w:pPr>
      <w:r>
        <w:rPr>
          <w:b/>
        </w:rPr>
        <w:t xml:space="preserve">• </w:t>
      </w:r>
      <w:r>
        <w:t>Ad-hoc peer reviewer for multiple PubMed/Scopus-indexed biomedical and pharmacological journals.</w:t>
      </w:r>
    </w:p>
    <w:p>
      <w:pPr>
        <w:spacing w:after="30"/>
        <w:ind w:left="259" w:hanging="173"/>
      </w:pPr>
      <w:r>
        <w:rPr>
          <w:b/>
        </w:rPr>
        <w:t xml:space="preserve">• </w:t>
      </w:r>
      <w:r>
        <w:t>Teaching in general, clinical and neuropharmacology for MD, Pharmacy and Health Sciences students since 2013.</w:t>
      </w:r>
    </w:p>
    <w:p>
      <w:pPr>
        <w:pStyle w:val="Heading1"/>
        <w:spacing w:before="100" w:after="40"/>
      </w:pPr>
      <w:r>
        <w:t>SELECTED RECOGNITION</w:t>
      </w:r>
    </w:p>
    <w:p>
      <w:pPr>
        <w:spacing w:after="30"/>
        <w:ind w:left="259" w:hanging="173"/>
      </w:pPr>
      <w:r>
        <w:rPr>
          <w:b/>
        </w:rPr>
        <w:t xml:space="preserve">• </w:t>
      </w:r>
      <w:r>
        <w:t>Outstanding Researcher of the City (Fasa), 2022.</w:t>
      </w:r>
    </w:p>
    <w:p>
      <w:pPr>
        <w:spacing w:after="30"/>
        <w:ind w:left="259" w:hanging="173"/>
      </w:pPr>
      <w:r>
        <w:rPr>
          <w:b/>
        </w:rPr>
        <w:t xml:space="preserve">• </w:t>
      </w:r>
      <w:r>
        <w:t>Outstanding Researcher Award, Fasa University of Medical Sciences, 2020 and 2014.</w:t>
      </w:r>
    </w:p>
    <w:p>
      <w:pPr>
        <w:pStyle w:val="Heading1"/>
        <w:spacing w:before="100" w:after="40"/>
      </w:pPr>
      <w:r>
        <w:t>PUBLICATIONS</w:t>
      </w:r>
    </w:p>
    <w:p>
      <w:pPr>
        <w:spacing w:after="40"/>
      </w:pPr>
      <w:r>
        <w:rPr>
          <w:b/>
        </w:rPr>
        <w:t xml:space="preserve">Complete and continuously updated publication record: </w:t>
      </w:r>
      <w:r>
        <w:rPr>
          <w:color w:val="0066CC"/>
          <w:u w:val="single"/>
        </w:rPr>
        <w:t>Google Scholar</w:t>
      </w:r>
      <w:hyperlink r:id="rId9">
        <w:r>
          <w:rPr>
            <w:color w:val="0066CC"/>
            <w:u w:val="single"/>
          </w:rPr>
          <w:t> | Google Scholar profile</w:t>
        </w:r>
      </w:hyperlink>
    </w:p>
    <w:p>
      <w:pPr>
        <w:spacing w:before="80"/>
        <w:jc w:val="right"/>
      </w:pPr>
      <w:r>
        <w:rPr>
          <w:i/>
          <w:sz w:val="16"/>
        </w:rPr>
        <w:t>Last updated: September 2026</w:t>
      </w:r>
    </w:p>
    <w:sectPr w:rsidR="00FC693F" w:rsidRPr="0006063C" w:rsidSect="00034616"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cholar.google.com/citations?user=YwlblY0AAAAJ&amp;hl=en&amp;oi=a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